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0F3F54" w14:textId="668B9797" w:rsidR="008E05F7" w:rsidRPr="00D91DDA" w:rsidRDefault="008E05F7" w:rsidP="00E85221">
      <w:pPr>
        <w:spacing w:after="0" w:line="240" w:lineRule="auto"/>
        <w:jc w:val="center"/>
        <w:rPr>
          <w:rFonts w:ascii="Tahoma" w:hAnsi="Tahoma" w:cs="Tahoma"/>
          <w:b/>
        </w:rPr>
      </w:pPr>
      <w:bookmarkStart w:id="0" w:name="_Hlk10217333"/>
      <w:r w:rsidRPr="00D91DDA">
        <w:rPr>
          <w:rFonts w:ascii="Tahoma" w:hAnsi="Tahoma" w:cs="Tahoma"/>
          <w:b/>
        </w:rPr>
        <w:t xml:space="preserve">Centralizator observații  pentru documentele întocmite pentru </w:t>
      </w:r>
      <w:r w:rsidR="003E68B6" w:rsidRPr="00D91DDA">
        <w:rPr>
          <w:rFonts w:ascii="Tahoma" w:hAnsi="Tahoma" w:cs="Tahoma"/>
          <w:b/>
        </w:rPr>
        <w:t>implementarea</w:t>
      </w:r>
      <w:r w:rsidRPr="00D91DDA">
        <w:rPr>
          <w:rFonts w:ascii="Tahoma" w:hAnsi="Tahoma" w:cs="Tahoma"/>
          <w:b/>
        </w:rPr>
        <w:t xml:space="preserve"> prevederilor </w:t>
      </w:r>
      <w:bookmarkStart w:id="1" w:name="_Hlk17277828"/>
      <w:r w:rsidRPr="00D91DDA">
        <w:rPr>
          <w:rFonts w:ascii="Tahoma" w:hAnsi="Tahoma" w:cs="Tahoma"/>
          <w:b/>
        </w:rPr>
        <w:t xml:space="preserve">Ordinului ANRE nr. </w:t>
      </w:r>
      <w:r w:rsidR="00486928" w:rsidRPr="00D91DDA">
        <w:rPr>
          <w:rFonts w:ascii="Tahoma" w:hAnsi="Tahoma" w:cs="Tahoma"/>
          <w:b/>
        </w:rPr>
        <w:t>16</w:t>
      </w:r>
      <w:r w:rsidR="00272BC0" w:rsidRPr="00D91DDA">
        <w:rPr>
          <w:rFonts w:ascii="Tahoma" w:hAnsi="Tahoma" w:cs="Tahoma"/>
          <w:b/>
        </w:rPr>
        <w:t>0</w:t>
      </w:r>
      <w:r w:rsidRPr="00D91DDA">
        <w:rPr>
          <w:rFonts w:ascii="Tahoma" w:hAnsi="Tahoma" w:cs="Tahoma"/>
          <w:b/>
        </w:rPr>
        <w:t>/201</w:t>
      </w:r>
      <w:r w:rsidR="00272BC0" w:rsidRPr="00D91DDA">
        <w:rPr>
          <w:rFonts w:ascii="Tahoma" w:hAnsi="Tahoma" w:cs="Tahoma"/>
          <w:b/>
        </w:rPr>
        <w:t>9</w:t>
      </w:r>
      <w:r w:rsidRPr="00D91DDA">
        <w:rPr>
          <w:rFonts w:ascii="Tahoma" w:hAnsi="Tahoma" w:cs="Tahoma"/>
          <w:b/>
        </w:rPr>
        <w:t>:</w:t>
      </w:r>
    </w:p>
    <w:bookmarkEnd w:id="1"/>
    <w:p w14:paraId="701E3175" w14:textId="054D4261" w:rsidR="00486928" w:rsidRDefault="00600038" w:rsidP="00600038">
      <w:pPr>
        <w:spacing w:after="0" w:line="240" w:lineRule="auto"/>
        <w:jc w:val="center"/>
        <w:rPr>
          <w:rFonts w:ascii="Tahoma" w:hAnsi="Tahoma" w:cs="Tahoma"/>
          <w:b/>
        </w:rPr>
      </w:pPr>
      <w:r w:rsidRPr="00600038">
        <w:rPr>
          <w:rFonts w:ascii="Tahoma" w:hAnsi="Tahoma" w:cs="Tahoma"/>
          <w:b/>
        </w:rPr>
        <w:t>Procedura privind</w:t>
      </w:r>
      <w:r>
        <w:rPr>
          <w:rFonts w:ascii="Tahoma" w:hAnsi="Tahoma" w:cs="Tahoma"/>
          <w:b/>
        </w:rPr>
        <w:t xml:space="preserve"> </w:t>
      </w:r>
      <w:r w:rsidRPr="00600038">
        <w:rPr>
          <w:rFonts w:ascii="Tahoma" w:hAnsi="Tahoma" w:cs="Tahoma"/>
          <w:b/>
        </w:rPr>
        <w:t>Înregistrarea Participanților la Piaţa centralizată pentru energia electrică din surse regenerabile susținută prin certificate verzi</w:t>
      </w:r>
    </w:p>
    <w:p w14:paraId="656D38E4" w14:textId="77777777" w:rsidR="00600038" w:rsidRPr="00D91DDA" w:rsidRDefault="00600038" w:rsidP="00600038">
      <w:pPr>
        <w:spacing w:after="0" w:line="240" w:lineRule="auto"/>
        <w:jc w:val="center"/>
        <w:rPr>
          <w:rFonts w:ascii="Tahoma" w:hAnsi="Tahoma" w:cs="Tahoma"/>
          <w:b/>
        </w:rPr>
      </w:pPr>
    </w:p>
    <w:tbl>
      <w:tblPr>
        <w:tblStyle w:val="TableGrid"/>
        <w:tblW w:w="15626" w:type="dxa"/>
        <w:tblInd w:w="-601" w:type="dxa"/>
        <w:tblLayout w:type="fixed"/>
        <w:tblLook w:val="04A0" w:firstRow="1" w:lastRow="0" w:firstColumn="1" w:lastColumn="0" w:noHBand="0" w:noVBand="1"/>
      </w:tblPr>
      <w:tblGrid>
        <w:gridCol w:w="956"/>
        <w:gridCol w:w="3060"/>
        <w:gridCol w:w="4518"/>
        <w:gridCol w:w="5652"/>
        <w:gridCol w:w="1440"/>
      </w:tblGrid>
      <w:tr w:rsidR="00975A12" w:rsidRPr="00D91DDA" w14:paraId="00B0BDAD" w14:textId="3356055B" w:rsidTr="003465E5">
        <w:trPr>
          <w:trHeight w:val="478"/>
        </w:trPr>
        <w:tc>
          <w:tcPr>
            <w:tcW w:w="956" w:type="dxa"/>
            <w:shd w:val="clear" w:color="auto" w:fill="auto"/>
          </w:tcPr>
          <w:p w14:paraId="066038DD" w14:textId="3A263827" w:rsidR="00975A12" w:rsidRPr="00D91DDA" w:rsidRDefault="00975A12" w:rsidP="00E85221">
            <w:pPr>
              <w:jc w:val="center"/>
              <w:rPr>
                <w:rFonts w:ascii="Tahoma" w:hAnsi="Tahoma" w:cs="Tahoma"/>
              </w:rPr>
            </w:pPr>
            <w:r w:rsidRPr="00D91DDA">
              <w:rPr>
                <w:rFonts w:ascii="Tahoma" w:hAnsi="Tahoma" w:cs="Tahoma"/>
              </w:rPr>
              <w:t>Art.</w:t>
            </w:r>
          </w:p>
        </w:tc>
        <w:tc>
          <w:tcPr>
            <w:tcW w:w="3060" w:type="dxa"/>
            <w:shd w:val="clear" w:color="auto" w:fill="auto"/>
          </w:tcPr>
          <w:p w14:paraId="34722F75" w14:textId="5ECE9E33" w:rsidR="00975A12" w:rsidRPr="00D91DDA" w:rsidRDefault="00975A12" w:rsidP="00E85221">
            <w:pPr>
              <w:jc w:val="center"/>
              <w:rPr>
                <w:rFonts w:ascii="Tahoma" w:hAnsi="Tahoma" w:cs="Tahoma"/>
                <w:b/>
              </w:rPr>
            </w:pPr>
            <w:r w:rsidRPr="00D91DDA">
              <w:rPr>
                <w:rFonts w:ascii="Tahoma" w:hAnsi="Tahoma" w:cs="Tahoma"/>
                <w:b/>
              </w:rPr>
              <w:t>Text de referință</w:t>
            </w:r>
          </w:p>
        </w:tc>
        <w:tc>
          <w:tcPr>
            <w:tcW w:w="4518" w:type="dxa"/>
            <w:shd w:val="clear" w:color="auto" w:fill="auto"/>
          </w:tcPr>
          <w:p w14:paraId="1B9365AF" w14:textId="5A0F5116" w:rsidR="00975A12" w:rsidRPr="00D91DDA" w:rsidRDefault="00975A12" w:rsidP="00E85221">
            <w:pPr>
              <w:jc w:val="center"/>
              <w:rPr>
                <w:rFonts w:ascii="Tahoma" w:hAnsi="Tahoma" w:cs="Tahoma"/>
                <w:b/>
                <w:i/>
              </w:rPr>
            </w:pPr>
            <w:r w:rsidRPr="00D91DDA">
              <w:rPr>
                <w:rFonts w:ascii="Tahoma" w:hAnsi="Tahoma" w:cs="Tahoma"/>
                <w:b/>
              </w:rPr>
              <w:t>Observații/propuneri</w:t>
            </w:r>
          </w:p>
        </w:tc>
        <w:tc>
          <w:tcPr>
            <w:tcW w:w="5652" w:type="dxa"/>
          </w:tcPr>
          <w:p w14:paraId="58F9AC02" w14:textId="24F845F7" w:rsidR="00975A12" w:rsidRPr="00D91DDA" w:rsidRDefault="00975A12" w:rsidP="00E85221">
            <w:pPr>
              <w:jc w:val="center"/>
              <w:rPr>
                <w:rFonts w:ascii="Tahoma" w:hAnsi="Tahoma" w:cs="Tahoma"/>
                <w:b/>
              </w:rPr>
            </w:pPr>
            <w:r w:rsidRPr="00D91DDA">
              <w:rPr>
                <w:rFonts w:ascii="Tahoma" w:hAnsi="Tahoma" w:cs="Tahoma"/>
                <w:b/>
              </w:rPr>
              <w:t xml:space="preserve">Clarificări </w:t>
            </w:r>
            <w:r w:rsidR="00231EF4" w:rsidRPr="00D91DDA">
              <w:rPr>
                <w:rFonts w:ascii="Tahoma" w:hAnsi="Tahoma" w:cs="Tahoma"/>
                <w:b/>
              </w:rPr>
              <w:t>OPC</w:t>
            </w:r>
            <w:bookmarkStart w:id="2" w:name="_GoBack"/>
            <w:bookmarkEnd w:id="2"/>
            <w:r w:rsidR="00231EF4" w:rsidRPr="00D91DDA">
              <w:rPr>
                <w:rFonts w:ascii="Tahoma" w:hAnsi="Tahoma" w:cs="Tahoma"/>
                <w:b/>
              </w:rPr>
              <w:t>OM</w:t>
            </w:r>
          </w:p>
        </w:tc>
        <w:tc>
          <w:tcPr>
            <w:tcW w:w="1440" w:type="dxa"/>
          </w:tcPr>
          <w:p w14:paraId="06185073" w14:textId="49C62244" w:rsidR="00975A12" w:rsidRPr="00D91DDA" w:rsidRDefault="00975A12" w:rsidP="00E85221">
            <w:pPr>
              <w:jc w:val="center"/>
              <w:rPr>
                <w:rFonts w:ascii="Tahoma" w:hAnsi="Tahoma" w:cs="Tahoma"/>
                <w:b/>
              </w:rPr>
            </w:pPr>
            <w:r w:rsidRPr="00D91DDA">
              <w:rPr>
                <w:rFonts w:ascii="Tahoma" w:hAnsi="Tahoma" w:cs="Tahoma"/>
                <w:b/>
              </w:rPr>
              <w:t>Text final</w:t>
            </w:r>
          </w:p>
        </w:tc>
      </w:tr>
      <w:tr w:rsidR="00547E91" w:rsidRPr="00D91DDA" w14:paraId="2D908133" w14:textId="77777777" w:rsidTr="003465E5">
        <w:trPr>
          <w:trHeight w:val="150"/>
        </w:trPr>
        <w:tc>
          <w:tcPr>
            <w:tcW w:w="956" w:type="dxa"/>
          </w:tcPr>
          <w:p w14:paraId="41D06D70" w14:textId="77777777" w:rsidR="00600038" w:rsidRDefault="00600038" w:rsidP="00255933">
            <w:pPr>
              <w:rPr>
                <w:rFonts w:ascii="Tahoma" w:hAnsi="Tahoma" w:cs="Tahoma"/>
              </w:rPr>
            </w:pPr>
            <w:bookmarkStart w:id="3" w:name="_Hlk17460549"/>
            <w:r>
              <w:rPr>
                <w:rFonts w:ascii="Tahoma" w:hAnsi="Tahoma" w:cs="Tahoma"/>
              </w:rPr>
              <w:t>Art.</w:t>
            </w:r>
          </w:p>
          <w:p w14:paraId="7B8804F9" w14:textId="0D1A3784" w:rsidR="00547E91" w:rsidRPr="00D91DDA" w:rsidRDefault="00600038" w:rsidP="00255933">
            <w:pPr>
              <w:rPr>
                <w:rFonts w:ascii="Tahoma" w:hAnsi="Tahoma" w:cs="Tahoma"/>
              </w:rPr>
            </w:pPr>
            <w:r w:rsidRPr="00600038">
              <w:rPr>
                <w:rFonts w:ascii="Tahoma" w:hAnsi="Tahoma" w:cs="Tahoma"/>
              </w:rPr>
              <w:t>5.1.1.5</w:t>
            </w:r>
          </w:p>
        </w:tc>
        <w:tc>
          <w:tcPr>
            <w:tcW w:w="3060" w:type="dxa"/>
          </w:tcPr>
          <w:p w14:paraId="2C33B00E" w14:textId="36F46E84" w:rsidR="00547E91" w:rsidRPr="00D91DDA" w:rsidRDefault="00600038" w:rsidP="00600038">
            <w:pPr>
              <w:jc w:val="both"/>
              <w:rPr>
                <w:rFonts w:ascii="Tahoma" w:hAnsi="Tahoma" w:cs="Tahoma"/>
              </w:rPr>
            </w:pPr>
            <w:r w:rsidRPr="00600038">
              <w:rPr>
                <w:rFonts w:ascii="Tahoma" w:hAnsi="Tahoma" w:cs="Tahoma"/>
              </w:rPr>
              <w:t>În cazul înregistrării participantului desemnat de o entitate agregată de producători de energie electrică din surse regenerabile, acesta va depune lista producătorilor de energie electrică din surse regenerabile care fac parte din entitatea agregată. Toți membrii entității agregate trebuie să fie înscriși anterior la PCE-ESRE-CV și trebuie să respecte convenția de participare aferentă acestei modalități de tranzacționare;</w:t>
            </w:r>
          </w:p>
        </w:tc>
        <w:tc>
          <w:tcPr>
            <w:tcW w:w="4518" w:type="dxa"/>
          </w:tcPr>
          <w:p w14:paraId="02F5806A" w14:textId="15E083B3" w:rsidR="00600038" w:rsidRDefault="00600038" w:rsidP="00600038">
            <w:r w:rsidRPr="00600038">
              <w:rPr>
                <w:rFonts w:ascii="Tahoma" w:hAnsi="Tahoma" w:cs="Tahoma"/>
                <w:b/>
                <w:bCs/>
              </w:rPr>
              <w:t>AFE</w:t>
            </w:r>
            <w:r w:rsidR="00BD1057">
              <w:rPr>
                <w:rFonts w:ascii="Tahoma" w:hAnsi="Tahoma" w:cs="Tahoma"/>
                <w:b/>
                <w:bCs/>
              </w:rPr>
              <w:t>E</w:t>
            </w:r>
            <w:r w:rsidRPr="00600038">
              <w:rPr>
                <w:rFonts w:ascii="Tahoma" w:hAnsi="Tahoma" w:cs="Tahoma"/>
                <w:b/>
                <w:bCs/>
              </w:rPr>
              <w:t>R:</w:t>
            </w:r>
            <w:r>
              <w:t xml:space="preserve"> </w:t>
            </w:r>
          </w:p>
          <w:p w14:paraId="520DCB1C" w14:textId="61292822" w:rsidR="00600038" w:rsidRPr="00600038" w:rsidRDefault="00600038" w:rsidP="00600038">
            <w:pPr>
              <w:jc w:val="both"/>
              <w:rPr>
                <w:rFonts w:ascii="Tahoma" w:hAnsi="Tahoma" w:cs="Tahoma"/>
              </w:rPr>
            </w:pPr>
            <w:r w:rsidRPr="00600038">
              <w:rPr>
                <w:rFonts w:ascii="Tahoma" w:hAnsi="Tahoma" w:cs="Tahoma"/>
              </w:rPr>
              <w:t xml:space="preserve">În cazul înregistrării participantului desemnat de o entitate agregată de producători de energie electrică din surse regenerabile, acesta va depune lista producătorilor de energie electrică din surse regenerabile care fac parte din entitatea agregată. </w:t>
            </w:r>
            <w:r w:rsidRPr="009C05A3">
              <w:rPr>
                <w:rFonts w:ascii="Tahoma" w:hAnsi="Tahoma" w:cs="Tahoma"/>
                <w:strike/>
              </w:rPr>
              <w:t>Toți membrii entității agregate trebuie să fie înscriși anterior la PCE-ESRE-CV și trebuie să respecte convenția de participare aferentă acestei modalități de tranzacționare</w:t>
            </w:r>
            <w:r w:rsidRPr="00600038">
              <w:rPr>
                <w:rFonts w:ascii="Tahoma" w:hAnsi="Tahoma" w:cs="Tahoma"/>
              </w:rPr>
              <w:t>;”</w:t>
            </w:r>
          </w:p>
          <w:p w14:paraId="55F5DCA1" w14:textId="7635CD2E" w:rsidR="00547E91" w:rsidRPr="00600038" w:rsidRDefault="00600038" w:rsidP="00600038">
            <w:pPr>
              <w:jc w:val="both"/>
              <w:rPr>
                <w:rFonts w:ascii="Tahoma" w:hAnsi="Tahoma" w:cs="Tahoma"/>
                <w:b/>
                <w:bCs/>
              </w:rPr>
            </w:pPr>
            <w:r w:rsidRPr="00600038">
              <w:rPr>
                <w:rFonts w:ascii="Tahoma" w:hAnsi="Tahoma" w:cs="Tahoma"/>
                <w:b/>
                <w:bCs/>
              </w:rPr>
              <w:t>Motivație:</w:t>
            </w:r>
            <w:r w:rsidRPr="00600038">
              <w:rPr>
                <w:rFonts w:ascii="Tahoma" w:hAnsi="Tahoma" w:cs="Tahoma"/>
              </w:rPr>
              <w:t xml:space="preserve"> sensul agregării este tocmai ca acești producători care desemnează o entitate agregată să-l reprezinte să nu se mai înscrie și el la piața respectivă.</w:t>
            </w:r>
          </w:p>
        </w:tc>
        <w:tc>
          <w:tcPr>
            <w:tcW w:w="5652" w:type="dxa"/>
          </w:tcPr>
          <w:p w14:paraId="09A0026A" w14:textId="602672D9" w:rsidR="00547E91" w:rsidRDefault="009C05A3" w:rsidP="009C05A3">
            <w:pPr>
              <w:jc w:val="both"/>
              <w:rPr>
                <w:rFonts w:ascii="Tahoma" w:hAnsi="Tahoma" w:cs="Tahoma"/>
                <w:bCs/>
              </w:rPr>
            </w:pPr>
            <w:r w:rsidRPr="009C05A3">
              <w:rPr>
                <w:rFonts w:ascii="Tahoma" w:hAnsi="Tahoma" w:cs="Tahoma"/>
                <w:bCs/>
              </w:rPr>
              <w:t>Propunerea contravine prevederilor Art. 9 – (1) și (3) din Regulamentul menționat.</w:t>
            </w:r>
          </w:p>
          <w:p w14:paraId="3E10E0CC" w14:textId="32628E82" w:rsidR="009026F4" w:rsidRDefault="009026F4" w:rsidP="009C05A3">
            <w:pPr>
              <w:jc w:val="both"/>
              <w:rPr>
                <w:rFonts w:ascii="Tahoma" w:hAnsi="Tahoma" w:cs="Tahoma"/>
                <w:bCs/>
              </w:rPr>
            </w:pPr>
            <w:r>
              <w:rPr>
                <w:rFonts w:ascii="Tahoma" w:hAnsi="Tahoma" w:cs="Tahoma"/>
                <w:bCs/>
              </w:rPr>
              <w:t>Menționăm că în conformitate cu prevederile Art. IV din Legea nr. 184/2018, „</w:t>
            </w:r>
            <w:r w:rsidRPr="009026F4">
              <w:rPr>
                <w:rFonts w:ascii="Tahoma" w:hAnsi="Tahoma" w:cs="Tahoma"/>
                <w:bCs/>
              </w:rPr>
              <w:t xml:space="preserve">2 sau mai mulți producători de energie din surse regenerabile, indiferent de tehnologia folosită, în vederea îmbunătățirii performanțelor financiare și de producție, </w:t>
            </w:r>
            <w:r w:rsidRPr="009026F4">
              <w:rPr>
                <w:rFonts w:ascii="Tahoma" w:hAnsi="Tahoma" w:cs="Tahoma"/>
                <w:b/>
                <w:u w:val="single"/>
              </w:rPr>
              <w:t>pot participa</w:t>
            </w:r>
            <w:r w:rsidRPr="009026F4">
              <w:rPr>
                <w:rFonts w:ascii="Tahoma" w:hAnsi="Tahoma" w:cs="Tahoma"/>
                <w:bCs/>
              </w:rPr>
              <w:t xml:space="preserve"> pe piețele concurențiale de energie împreună ca o singură entitate agregată, cu respectarea prevederilor Legii concurenței nr. 21/1996, republicată, cu modificările și completările ulterioare</w:t>
            </w:r>
            <w:r>
              <w:rPr>
                <w:rFonts w:ascii="Tahoma" w:hAnsi="Tahoma" w:cs="Tahoma"/>
                <w:bCs/>
              </w:rPr>
              <w:t>”</w:t>
            </w:r>
            <w:r w:rsidR="003465E5">
              <w:rPr>
                <w:rFonts w:ascii="Tahoma" w:hAnsi="Tahoma" w:cs="Tahoma"/>
                <w:bCs/>
              </w:rPr>
              <w:t>. Față de prevederile menționate ale Legii opinăm că derogarea introdusă privește modul de ofertare a energiei electrice, prin asociere și nu în nume propriu</w:t>
            </w:r>
            <w:r w:rsidR="005B050F">
              <w:rPr>
                <w:rFonts w:ascii="Tahoma" w:hAnsi="Tahoma" w:cs="Tahoma"/>
                <w:bCs/>
              </w:rPr>
              <w:t>,</w:t>
            </w:r>
            <w:r w:rsidR="003465E5">
              <w:rPr>
                <w:rFonts w:ascii="Tahoma" w:hAnsi="Tahoma" w:cs="Tahoma"/>
                <w:bCs/>
              </w:rPr>
              <w:t xml:space="preserve"> și nu face derogare de la regulile aplicabile pentru accesul la piață. </w:t>
            </w:r>
          </w:p>
          <w:p w14:paraId="541DFAA2" w14:textId="52D1E0F9" w:rsidR="009026F4" w:rsidRPr="00D91DDA" w:rsidRDefault="009026F4" w:rsidP="009C05A3">
            <w:pPr>
              <w:jc w:val="both"/>
              <w:rPr>
                <w:rFonts w:ascii="Tahoma" w:hAnsi="Tahoma" w:cs="Tahoma"/>
                <w:bCs/>
              </w:rPr>
            </w:pPr>
            <w:r>
              <w:rPr>
                <w:rFonts w:ascii="Tahoma" w:hAnsi="Tahoma" w:cs="Tahoma"/>
                <w:bCs/>
              </w:rPr>
              <w:t>Mai mult, reiterăm faptul că tranzacționarea CV se realizează în nume propriu de către Vânză</w:t>
            </w:r>
            <w:r w:rsidR="00231EF4">
              <w:rPr>
                <w:rFonts w:ascii="Tahoma" w:hAnsi="Tahoma" w:cs="Tahoma"/>
                <w:bCs/>
              </w:rPr>
              <w:t>to</w:t>
            </w:r>
            <w:r>
              <w:rPr>
                <w:rFonts w:ascii="Tahoma" w:hAnsi="Tahoma" w:cs="Tahoma"/>
                <w:bCs/>
              </w:rPr>
              <w:t>rii care decid să desemneze un alt producător să îi reprezinte în cadrul unei entități agregate și prin urmare trebuie să le fie aplicabile drepturile și obligațiile aferente participării în nume propriu pe această piață.</w:t>
            </w:r>
          </w:p>
        </w:tc>
        <w:tc>
          <w:tcPr>
            <w:tcW w:w="1440" w:type="dxa"/>
          </w:tcPr>
          <w:p w14:paraId="1D24F325" w14:textId="4CF10F30" w:rsidR="00547E91" w:rsidRPr="00D91DDA" w:rsidRDefault="009C05A3" w:rsidP="00255933">
            <w:pPr>
              <w:jc w:val="both"/>
              <w:rPr>
                <w:rFonts w:ascii="Tahoma" w:hAnsi="Tahoma" w:cs="Tahoma"/>
                <w:bCs/>
              </w:rPr>
            </w:pPr>
            <w:r w:rsidRPr="009C05A3">
              <w:rPr>
                <w:rFonts w:ascii="Tahoma" w:hAnsi="Tahoma" w:cs="Tahoma"/>
                <w:bCs/>
              </w:rPr>
              <w:t>Propunem menținerea textului din documentul de discuție.</w:t>
            </w:r>
          </w:p>
        </w:tc>
      </w:tr>
      <w:bookmarkEnd w:id="3"/>
      <w:tr w:rsidR="00600038" w:rsidRPr="00D91DDA" w14:paraId="2665EE12" w14:textId="77777777" w:rsidTr="003465E5">
        <w:trPr>
          <w:trHeight w:val="150"/>
        </w:trPr>
        <w:tc>
          <w:tcPr>
            <w:tcW w:w="956" w:type="dxa"/>
          </w:tcPr>
          <w:p w14:paraId="5910CA93" w14:textId="77777777" w:rsidR="00600038" w:rsidRDefault="00600038" w:rsidP="00255933">
            <w:pPr>
              <w:rPr>
                <w:rFonts w:ascii="Tahoma" w:hAnsi="Tahoma" w:cs="Tahoma"/>
              </w:rPr>
            </w:pPr>
            <w:r>
              <w:rPr>
                <w:rFonts w:ascii="Tahoma" w:hAnsi="Tahoma" w:cs="Tahoma"/>
              </w:rPr>
              <w:t>Art.</w:t>
            </w:r>
          </w:p>
          <w:p w14:paraId="40871A55" w14:textId="0E9DDC15" w:rsidR="00600038" w:rsidRDefault="00600038" w:rsidP="00255933">
            <w:pPr>
              <w:rPr>
                <w:rFonts w:ascii="Tahoma" w:hAnsi="Tahoma" w:cs="Tahoma"/>
              </w:rPr>
            </w:pPr>
            <w:r w:rsidRPr="00600038">
              <w:rPr>
                <w:rFonts w:ascii="Tahoma" w:hAnsi="Tahoma" w:cs="Tahoma"/>
              </w:rPr>
              <w:t>5.1.1.6</w:t>
            </w:r>
          </w:p>
        </w:tc>
        <w:tc>
          <w:tcPr>
            <w:tcW w:w="3060" w:type="dxa"/>
          </w:tcPr>
          <w:p w14:paraId="1A09FA56" w14:textId="54DD02D7" w:rsidR="00600038" w:rsidRPr="00600038" w:rsidRDefault="00600038" w:rsidP="00600038">
            <w:pPr>
              <w:jc w:val="both"/>
              <w:rPr>
                <w:rFonts w:ascii="Tahoma" w:hAnsi="Tahoma" w:cs="Tahoma"/>
              </w:rPr>
            </w:pPr>
            <w:r w:rsidRPr="00600038">
              <w:rPr>
                <w:rFonts w:ascii="Tahoma" w:hAnsi="Tahoma" w:cs="Tahoma"/>
              </w:rPr>
              <w:t>În cazul înregistrării participantului desemnat de o entitate agregată de producători de energie electrică din surse regenerabile, componenta de administrare a PCE-ESRE-CV practicat de OPECV, se aplică corespunzător puterii sale instalate</w:t>
            </w:r>
          </w:p>
        </w:tc>
        <w:tc>
          <w:tcPr>
            <w:tcW w:w="4518" w:type="dxa"/>
          </w:tcPr>
          <w:p w14:paraId="19C6882A" w14:textId="3AEFCB1D" w:rsidR="00600038" w:rsidRDefault="00600038" w:rsidP="00600038">
            <w:pPr>
              <w:rPr>
                <w:rFonts w:ascii="Tahoma" w:hAnsi="Tahoma" w:cs="Tahoma"/>
                <w:b/>
                <w:bCs/>
              </w:rPr>
            </w:pPr>
            <w:r w:rsidRPr="00600038">
              <w:rPr>
                <w:rFonts w:ascii="Tahoma" w:hAnsi="Tahoma" w:cs="Tahoma"/>
                <w:b/>
                <w:bCs/>
              </w:rPr>
              <w:t>AFE</w:t>
            </w:r>
            <w:r w:rsidR="00BD1057">
              <w:rPr>
                <w:rFonts w:ascii="Tahoma" w:hAnsi="Tahoma" w:cs="Tahoma"/>
                <w:b/>
                <w:bCs/>
              </w:rPr>
              <w:t>E</w:t>
            </w:r>
            <w:r w:rsidRPr="00600038">
              <w:rPr>
                <w:rFonts w:ascii="Tahoma" w:hAnsi="Tahoma" w:cs="Tahoma"/>
                <w:b/>
                <w:bCs/>
              </w:rPr>
              <w:t>R:</w:t>
            </w:r>
          </w:p>
          <w:p w14:paraId="37E5AB98" w14:textId="77777777" w:rsidR="00600038" w:rsidRPr="00600038" w:rsidRDefault="00600038" w:rsidP="00600038">
            <w:pPr>
              <w:jc w:val="both"/>
              <w:rPr>
                <w:rFonts w:ascii="Tahoma" w:hAnsi="Tahoma" w:cs="Tahoma"/>
              </w:rPr>
            </w:pPr>
            <w:r w:rsidRPr="00600038">
              <w:rPr>
                <w:rFonts w:ascii="Tahoma" w:hAnsi="Tahoma" w:cs="Tahoma"/>
              </w:rPr>
              <w:t xml:space="preserve">În cazul înregistrării participantului desemnat de o entitate agregată de producători de energie electrică din surse regenerabile, componenta de administrare a PCE-ESRE-CV practicat de OPECV, se aplică corespunzător puterii sale instalate, </w:t>
            </w:r>
            <w:r w:rsidRPr="00600038">
              <w:rPr>
                <w:rFonts w:ascii="Tahoma" w:hAnsi="Tahoma" w:cs="Tahoma"/>
                <w:b/>
                <w:bCs/>
              </w:rPr>
              <w:t xml:space="preserve">iar fiecare producător din entitatea agregată nu va mai achita individual componenta de </w:t>
            </w:r>
            <w:proofErr w:type="spellStart"/>
            <w:r w:rsidRPr="00600038">
              <w:rPr>
                <w:rFonts w:ascii="Tahoma" w:hAnsi="Tahoma" w:cs="Tahoma"/>
                <w:b/>
                <w:bCs/>
              </w:rPr>
              <w:t>administare</w:t>
            </w:r>
            <w:proofErr w:type="spellEnd"/>
            <w:r w:rsidRPr="00600038">
              <w:rPr>
                <w:rFonts w:ascii="Tahoma" w:hAnsi="Tahoma" w:cs="Tahoma"/>
                <w:b/>
                <w:bCs/>
              </w:rPr>
              <w:t xml:space="preserve"> a tarifului practicat de OPCCB</w:t>
            </w:r>
            <w:r w:rsidRPr="00600038">
              <w:rPr>
                <w:rFonts w:ascii="Tahoma" w:hAnsi="Tahoma" w:cs="Tahoma"/>
              </w:rPr>
              <w:t>.“</w:t>
            </w:r>
          </w:p>
          <w:p w14:paraId="0BD5655A" w14:textId="2F8B8553" w:rsidR="00600038" w:rsidRPr="00600038" w:rsidRDefault="00600038" w:rsidP="009C05A3">
            <w:pPr>
              <w:jc w:val="both"/>
              <w:rPr>
                <w:rFonts w:ascii="Tahoma" w:hAnsi="Tahoma" w:cs="Tahoma"/>
                <w:b/>
                <w:bCs/>
              </w:rPr>
            </w:pPr>
            <w:proofErr w:type="spellStart"/>
            <w:r w:rsidRPr="00600038">
              <w:rPr>
                <w:rFonts w:ascii="Tahoma" w:hAnsi="Tahoma" w:cs="Tahoma"/>
                <w:b/>
                <w:bCs/>
              </w:rPr>
              <w:t>Motivatie</w:t>
            </w:r>
            <w:proofErr w:type="spellEnd"/>
            <w:r w:rsidRPr="00600038">
              <w:rPr>
                <w:rFonts w:ascii="Tahoma" w:hAnsi="Tahoma" w:cs="Tahoma"/>
                <w:b/>
                <w:bCs/>
              </w:rPr>
              <w:t>:</w:t>
            </w:r>
            <w:r w:rsidRPr="00600038">
              <w:rPr>
                <w:rFonts w:ascii="Tahoma" w:hAnsi="Tahoma" w:cs="Tahoma"/>
              </w:rPr>
              <w:t xml:space="preserve"> conform punctului 1.</w:t>
            </w:r>
          </w:p>
        </w:tc>
        <w:tc>
          <w:tcPr>
            <w:tcW w:w="5652" w:type="dxa"/>
          </w:tcPr>
          <w:p w14:paraId="21BE3975" w14:textId="008599E5" w:rsidR="009C05A3" w:rsidRPr="009C05A3" w:rsidRDefault="009C05A3" w:rsidP="009C05A3">
            <w:pPr>
              <w:jc w:val="both"/>
              <w:rPr>
                <w:rFonts w:ascii="Tahoma" w:hAnsi="Tahoma" w:cs="Tahoma"/>
                <w:bCs/>
              </w:rPr>
            </w:pPr>
            <w:r w:rsidRPr="009C05A3">
              <w:rPr>
                <w:rFonts w:ascii="Tahoma" w:hAnsi="Tahoma" w:cs="Tahoma"/>
                <w:bCs/>
              </w:rPr>
              <w:t xml:space="preserve">Conform „Metodologiei de stabilire a tarifului reglementat practicat de operatorul pieței de energie electrică” (Ordin ANRE nr. 67/04.09.2013, cu modificările ulterioare), art. 15 b), componenta de administrare a piețelor centralizate </w:t>
            </w:r>
            <w:proofErr w:type="spellStart"/>
            <w:r w:rsidRPr="009C05A3">
              <w:rPr>
                <w:rFonts w:ascii="Tahoma" w:hAnsi="Tahoma" w:cs="Tahoma"/>
                <w:bCs/>
              </w:rPr>
              <w:t>T</w:t>
            </w:r>
            <w:r w:rsidRPr="00231EF4">
              <w:rPr>
                <w:rFonts w:ascii="Tahoma" w:hAnsi="Tahoma" w:cs="Tahoma"/>
                <w:bCs/>
                <w:sz w:val="18"/>
                <w:szCs w:val="18"/>
              </w:rPr>
              <w:t>admin</w:t>
            </w:r>
            <w:proofErr w:type="spellEnd"/>
            <w:r w:rsidRPr="009C05A3">
              <w:rPr>
                <w:rFonts w:ascii="Tahoma" w:hAnsi="Tahoma" w:cs="Tahoma"/>
                <w:bCs/>
              </w:rPr>
              <w:t xml:space="preserve"> [lei/participant/an], aplicata anual fiecărui participant la piețele centralizate, pentru fiecare piață centralizată la care este înscris” , iar Regulamentul aprobat prin ordinul 160/10.07.2019 nu indică o derogare de la prevederea menționată. </w:t>
            </w:r>
          </w:p>
          <w:p w14:paraId="149DD257" w14:textId="19AF05D0" w:rsidR="00600038" w:rsidRPr="00D91DDA" w:rsidRDefault="009C05A3" w:rsidP="009C05A3">
            <w:pPr>
              <w:jc w:val="both"/>
              <w:rPr>
                <w:rFonts w:ascii="Tahoma" w:hAnsi="Tahoma" w:cs="Tahoma"/>
                <w:bCs/>
              </w:rPr>
            </w:pPr>
            <w:r w:rsidRPr="009C05A3">
              <w:rPr>
                <w:rFonts w:ascii="Tahoma" w:hAnsi="Tahoma" w:cs="Tahoma"/>
                <w:bCs/>
              </w:rPr>
              <w:t>Mai mult, propunerea contravine prevederilor Art. 9 – (1) și (3) din Regulamentul menționat.</w:t>
            </w:r>
          </w:p>
        </w:tc>
        <w:tc>
          <w:tcPr>
            <w:tcW w:w="1440" w:type="dxa"/>
          </w:tcPr>
          <w:p w14:paraId="059B0044" w14:textId="50534D66" w:rsidR="00600038" w:rsidRPr="00D91DDA" w:rsidRDefault="009C05A3" w:rsidP="00255933">
            <w:pPr>
              <w:jc w:val="both"/>
              <w:rPr>
                <w:rFonts w:ascii="Tahoma" w:hAnsi="Tahoma" w:cs="Tahoma"/>
                <w:bCs/>
              </w:rPr>
            </w:pPr>
            <w:r w:rsidRPr="009C05A3">
              <w:rPr>
                <w:rFonts w:ascii="Tahoma" w:hAnsi="Tahoma" w:cs="Tahoma"/>
                <w:bCs/>
              </w:rPr>
              <w:t>Propunem menținerea textului din documentul de discuție.</w:t>
            </w:r>
          </w:p>
        </w:tc>
      </w:tr>
      <w:bookmarkEnd w:id="0"/>
    </w:tbl>
    <w:p w14:paraId="73A19B35" w14:textId="77777777" w:rsidR="0008129D" w:rsidRPr="00D91DDA" w:rsidRDefault="0008129D" w:rsidP="00E85221">
      <w:pPr>
        <w:spacing w:after="0" w:line="240" w:lineRule="auto"/>
        <w:rPr>
          <w:rFonts w:ascii="Tahoma" w:hAnsi="Tahoma" w:cs="Tahoma"/>
        </w:rPr>
      </w:pPr>
    </w:p>
    <w:sectPr w:rsidR="0008129D" w:rsidRPr="00D91DDA" w:rsidSect="003465E5">
      <w:pgSz w:w="16838" w:h="11906" w:orient="landscape"/>
      <w:pgMar w:top="851" w:right="1417" w:bottom="18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RomanR">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815E2"/>
    <w:multiLevelType w:val="hybridMultilevel"/>
    <w:tmpl w:val="5DE0CB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F7EDC"/>
    <w:multiLevelType w:val="hybridMultilevel"/>
    <w:tmpl w:val="33CC75A6"/>
    <w:lvl w:ilvl="0" w:tplc="100858E2">
      <w:start w:val="1"/>
      <w:numFmt w:val="bullet"/>
      <w:lvlText w:val="-"/>
      <w:lvlJc w:val="left"/>
      <w:pPr>
        <w:ind w:left="720" w:hanging="360"/>
      </w:pPr>
      <w:rPr>
        <w:rFonts w:ascii="Calibri" w:eastAsia="Times New Roman" w:hAnsi="Calibri" w:cs="Calibri"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C8A2B58"/>
    <w:multiLevelType w:val="hybridMultilevel"/>
    <w:tmpl w:val="6DAE352A"/>
    <w:lvl w:ilvl="0" w:tplc="1C181A9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0D0ADA"/>
    <w:multiLevelType w:val="hybridMultilevel"/>
    <w:tmpl w:val="B73A9A4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DD0C6A"/>
    <w:multiLevelType w:val="hybridMultilevel"/>
    <w:tmpl w:val="CAA80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4093B"/>
    <w:multiLevelType w:val="hybridMultilevel"/>
    <w:tmpl w:val="CCE85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F57C7B"/>
    <w:multiLevelType w:val="hybridMultilevel"/>
    <w:tmpl w:val="9AA2C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ED6C16"/>
    <w:multiLevelType w:val="hybridMultilevel"/>
    <w:tmpl w:val="A3465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B867B6"/>
    <w:multiLevelType w:val="hybridMultilevel"/>
    <w:tmpl w:val="14288A3A"/>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9" w15:restartNumberingAfterBreak="0">
    <w:nsid w:val="3BE174D8"/>
    <w:multiLevelType w:val="hybridMultilevel"/>
    <w:tmpl w:val="39FCD1DE"/>
    <w:lvl w:ilvl="0" w:tplc="04090001">
      <w:start w:val="1"/>
      <w:numFmt w:val="bullet"/>
      <w:lvlText w:val=""/>
      <w:lvlJc w:val="left"/>
      <w:pPr>
        <w:ind w:left="751" w:hanging="360"/>
      </w:pPr>
      <w:rPr>
        <w:rFonts w:ascii="Symbol" w:hAnsi="Symbol" w:hint="default"/>
      </w:rPr>
    </w:lvl>
    <w:lvl w:ilvl="1" w:tplc="04090003" w:tentative="1">
      <w:start w:val="1"/>
      <w:numFmt w:val="bullet"/>
      <w:lvlText w:val="o"/>
      <w:lvlJc w:val="left"/>
      <w:pPr>
        <w:ind w:left="1471" w:hanging="360"/>
      </w:pPr>
      <w:rPr>
        <w:rFonts w:ascii="Courier New" w:hAnsi="Courier New" w:cs="Courier New" w:hint="default"/>
      </w:rPr>
    </w:lvl>
    <w:lvl w:ilvl="2" w:tplc="04090005" w:tentative="1">
      <w:start w:val="1"/>
      <w:numFmt w:val="bullet"/>
      <w:lvlText w:val=""/>
      <w:lvlJc w:val="left"/>
      <w:pPr>
        <w:ind w:left="2191" w:hanging="360"/>
      </w:pPr>
      <w:rPr>
        <w:rFonts w:ascii="Wingdings" w:hAnsi="Wingdings" w:hint="default"/>
      </w:rPr>
    </w:lvl>
    <w:lvl w:ilvl="3" w:tplc="04090001">
      <w:start w:val="1"/>
      <w:numFmt w:val="bullet"/>
      <w:lvlText w:val=""/>
      <w:lvlJc w:val="left"/>
      <w:pPr>
        <w:ind w:left="2911" w:hanging="360"/>
      </w:pPr>
      <w:rPr>
        <w:rFonts w:ascii="Symbol" w:hAnsi="Symbol" w:hint="default"/>
      </w:rPr>
    </w:lvl>
    <w:lvl w:ilvl="4" w:tplc="04090003" w:tentative="1">
      <w:start w:val="1"/>
      <w:numFmt w:val="bullet"/>
      <w:lvlText w:val="o"/>
      <w:lvlJc w:val="left"/>
      <w:pPr>
        <w:ind w:left="3631" w:hanging="360"/>
      </w:pPr>
      <w:rPr>
        <w:rFonts w:ascii="Courier New" w:hAnsi="Courier New" w:cs="Courier New" w:hint="default"/>
      </w:rPr>
    </w:lvl>
    <w:lvl w:ilvl="5" w:tplc="04090005" w:tentative="1">
      <w:start w:val="1"/>
      <w:numFmt w:val="bullet"/>
      <w:lvlText w:val=""/>
      <w:lvlJc w:val="left"/>
      <w:pPr>
        <w:ind w:left="4351" w:hanging="360"/>
      </w:pPr>
      <w:rPr>
        <w:rFonts w:ascii="Wingdings" w:hAnsi="Wingdings" w:hint="default"/>
      </w:rPr>
    </w:lvl>
    <w:lvl w:ilvl="6" w:tplc="04090001" w:tentative="1">
      <w:start w:val="1"/>
      <w:numFmt w:val="bullet"/>
      <w:lvlText w:val=""/>
      <w:lvlJc w:val="left"/>
      <w:pPr>
        <w:ind w:left="5071" w:hanging="360"/>
      </w:pPr>
      <w:rPr>
        <w:rFonts w:ascii="Symbol" w:hAnsi="Symbol" w:hint="default"/>
      </w:rPr>
    </w:lvl>
    <w:lvl w:ilvl="7" w:tplc="04090003" w:tentative="1">
      <w:start w:val="1"/>
      <w:numFmt w:val="bullet"/>
      <w:lvlText w:val="o"/>
      <w:lvlJc w:val="left"/>
      <w:pPr>
        <w:ind w:left="5791" w:hanging="360"/>
      </w:pPr>
      <w:rPr>
        <w:rFonts w:ascii="Courier New" w:hAnsi="Courier New" w:cs="Courier New" w:hint="default"/>
      </w:rPr>
    </w:lvl>
    <w:lvl w:ilvl="8" w:tplc="04090005" w:tentative="1">
      <w:start w:val="1"/>
      <w:numFmt w:val="bullet"/>
      <w:lvlText w:val=""/>
      <w:lvlJc w:val="left"/>
      <w:pPr>
        <w:ind w:left="6511" w:hanging="360"/>
      </w:pPr>
      <w:rPr>
        <w:rFonts w:ascii="Wingdings" w:hAnsi="Wingdings" w:hint="default"/>
      </w:rPr>
    </w:lvl>
  </w:abstractNum>
  <w:abstractNum w:abstractNumId="10" w15:restartNumberingAfterBreak="0">
    <w:nsid w:val="3FF67C8E"/>
    <w:multiLevelType w:val="hybridMultilevel"/>
    <w:tmpl w:val="7F7298E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4ADD4617"/>
    <w:multiLevelType w:val="multilevel"/>
    <w:tmpl w:val="C42074BE"/>
    <w:lvl w:ilvl="0">
      <w:start w:val="5"/>
      <w:numFmt w:val="decimal"/>
      <w:lvlText w:val="%1."/>
      <w:lvlJc w:val="left"/>
      <w:pPr>
        <w:tabs>
          <w:tab w:val="num" w:pos="360"/>
        </w:tabs>
        <w:ind w:left="360" w:hanging="360"/>
      </w:pPr>
      <w:rPr>
        <w:rFonts w:hint="default"/>
      </w:rPr>
    </w:lvl>
    <w:lvl w:ilvl="1">
      <w:start w:val="1"/>
      <w:numFmt w:val="decimal"/>
      <w:lvlText w:val="8.%2."/>
      <w:lvlJc w:val="left"/>
      <w:pPr>
        <w:tabs>
          <w:tab w:val="num" w:pos="720"/>
        </w:tabs>
        <w:ind w:left="720" w:hanging="720"/>
      </w:pPr>
      <w:rPr>
        <w:rFonts w:ascii="Tahoma" w:hAnsi="Tahoma" w:cs="Tahoma" w:hint="default"/>
        <w:b/>
        <w:sz w:val="22"/>
        <w:szCs w:val="22"/>
      </w:rPr>
    </w:lvl>
    <w:lvl w:ilvl="2">
      <w:start w:val="1"/>
      <w:numFmt w:val="decimal"/>
      <w:lvlText w:val="7.6.%3."/>
      <w:lvlJc w:val="left"/>
      <w:pPr>
        <w:tabs>
          <w:tab w:val="num" w:pos="1260"/>
        </w:tabs>
        <w:ind w:left="1260" w:hanging="720"/>
      </w:pPr>
      <w:rPr>
        <w:rFonts w:hint="default"/>
        <w:b/>
        <w:sz w:val="22"/>
        <w:szCs w:val="22"/>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5A9F4D9E"/>
    <w:multiLevelType w:val="hybridMultilevel"/>
    <w:tmpl w:val="CFFA3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0E0D57"/>
    <w:multiLevelType w:val="hybridMultilevel"/>
    <w:tmpl w:val="FF9C9876"/>
    <w:lvl w:ilvl="0" w:tplc="04180001">
      <w:start w:val="1"/>
      <w:numFmt w:val="bullet"/>
      <w:lvlText w:val=""/>
      <w:lvlJc w:val="left"/>
      <w:pPr>
        <w:ind w:left="840" w:hanging="360"/>
      </w:pPr>
      <w:rPr>
        <w:rFonts w:ascii="Symbol" w:hAnsi="Symbol" w:hint="default"/>
      </w:rPr>
    </w:lvl>
    <w:lvl w:ilvl="1" w:tplc="04180003">
      <w:start w:val="1"/>
      <w:numFmt w:val="bullet"/>
      <w:lvlText w:val="o"/>
      <w:lvlJc w:val="left"/>
      <w:pPr>
        <w:ind w:left="1560" w:hanging="360"/>
      </w:pPr>
      <w:rPr>
        <w:rFonts w:ascii="Courier New" w:hAnsi="Courier New" w:cs="Courier New" w:hint="default"/>
      </w:rPr>
    </w:lvl>
    <w:lvl w:ilvl="2" w:tplc="04180005">
      <w:start w:val="1"/>
      <w:numFmt w:val="bullet"/>
      <w:lvlText w:val=""/>
      <w:lvlJc w:val="left"/>
      <w:pPr>
        <w:ind w:left="2280" w:hanging="360"/>
      </w:pPr>
      <w:rPr>
        <w:rFonts w:ascii="Wingdings" w:hAnsi="Wingdings" w:hint="default"/>
      </w:rPr>
    </w:lvl>
    <w:lvl w:ilvl="3" w:tplc="04180001">
      <w:start w:val="1"/>
      <w:numFmt w:val="bullet"/>
      <w:lvlText w:val=""/>
      <w:lvlJc w:val="left"/>
      <w:pPr>
        <w:ind w:left="3000" w:hanging="360"/>
      </w:pPr>
      <w:rPr>
        <w:rFonts w:ascii="Symbol" w:hAnsi="Symbol" w:hint="default"/>
      </w:rPr>
    </w:lvl>
    <w:lvl w:ilvl="4" w:tplc="04180003">
      <w:start w:val="1"/>
      <w:numFmt w:val="bullet"/>
      <w:lvlText w:val="o"/>
      <w:lvlJc w:val="left"/>
      <w:pPr>
        <w:ind w:left="3720" w:hanging="360"/>
      </w:pPr>
      <w:rPr>
        <w:rFonts w:ascii="Courier New" w:hAnsi="Courier New" w:cs="Courier New" w:hint="default"/>
      </w:rPr>
    </w:lvl>
    <w:lvl w:ilvl="5" w:tplc="04180005">
      <w:start w:val="1"/>
      <w:numFmt w:val="bullet"/>
      <w:lvlText w:val=""/>
      <w:lvlJc w:val="left"/>
      <w:pPr>
        <w:ind w:left="4440" w:hanging="360"/>
      </w:pPr>
      <w:rPr>
        <w:rFonts w:ascii="Wingdings" w:hAnsi="Wingdings" w:hint="default"/>
      </w:rPr>
    </w:lvl>
    <w:lvl w:ilvl="6" w:tplc="04180001">
      <w:start w:val="1"/>
      <w:numFmt w:val="bullet"/>
      <w:lvlText w:val=""/>
      <w:lvlJc w:val="left"/>
      <w:pPr>
        <w:ind w:left="5160" w:hanging="360"/>
      </w:pPr>
      <w:rPr>
        <w:rFonts w:ascii="Symbol" w:hAnsi="Symbol" w:hint="default"/>
      </w:rPr>
    </w:lvl>
    <w:lvl w:ilvl="7" w:tplc="04180003">
      <w:start w:val="1"/>
      <w:numFmt w:val="bullet"/>
      <w:lvlText w:val="o"/>
      <w:lvlJc w:val="left"/>
      <w:pPr>
        <w:ind w:left="5880" w:hanging="360"/>
      </w:pPr>
      <w:rPr>
        <w:rFonts w:ascii="Courier New" w:hAnsi="Courier New" w:cs="Courier New" w:hint="default"/>
      </w:rPr>
    </w:lvl>
    <w:lvl w:ilvl="8" w:tplc="04180005">
      <w:start w:val="1"/>
      <w:numFmt w:val="bullet"/>
      <w:lvlText w:val=""/>
      <w:lvlJc w:val="left"/>
      <w:pPr>
        <w:ind w:left="6600" w:hanging="360"/>
      </w:pPr>
      <w:rPr>
        <w:rFonts w:ascii="Wingdings" w:hAnsi="Wingdings" w:hint="default"/>
      </w:rPr>
    </w:lvl>
  </w:abstractNum>
  <w:abstractNum w:abstractNumId="14" w15:restartNumberingAfterBreak="0">
    <w:nsid w:val="6D0822D5"/>
    <w:multiLevelType w:val="hybridMultilevel"/>
    <w:tmpl w:val="F404F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666889"/>
    <w:multiLevelType w:val="hybridMultilevel"/>
    <w:tmpl w:val="6A3022C4"/>
    <w:lvl w:ilvl="0" w:tplc="222AE7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87503C8"/>
    <w:multiLevelType w:val="hybridMultilevel"/>
    <w:tmpl w:val="5F70E2F4"/>
    <w:lvl w:ilvl="0" w:tplc="D79C04E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B611A82"/>
    <w:multiLevelType w:val="hybridMultilevel"/>
    <w:tmpl w:val="24F2A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4"/>
  </w:num>
  <w:num w:numId="4">
    <w:abstractNumId w:val="4"/>
  </w:num>
  <w:num w:numId="5">
    <w:abstractNumId w:val="0"/>
  </w:num>
  <w:num w:numId="6">
    <w:abstractNumId w:val="16"/>
  </w:num>
  <w:num w:numId="7">
    <w:abstractNumId w:val="3"/>
  </w:num>
  <w:num w:numId="8">
    <w:abstractNumId w:val="1"/>
  </w:num>
  <w:num w:numId="9">
    <w:abstractNumId w:val="11"/>
  </w:num>
  <w:num w:numId="10">
    <w:abstractNumId w:val="10"/>
  </w:num>
  <w:num w:numId="11">
    <w:abstractNumId w:val="13"/>
  </w:num>
  <w:num w:numId="12">
    <w:abstractNumId w:val="9"/>
  </w:num>
  <w:num w:numId="13">
    <w:abstractNumId w:val="12"/>
  </w:num>
  <w:num w:numId="14">
    <w:abstractNumId w:val="7"/>
  </w:num>
  <w:num w:numId="15">
    <w:abstractNumId w:val="5"/>
  </w:num>
  <w:num w:numId="16">
    <w:abstractNumId w:val="15"/>
  </w:num>
  <w:num w:numId="17">
    <w:abstractNumId w:val="8"/>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29D"/>
    <w:rsid w:val="000037C4"/>
    <w:rsid w:val="0000553A"/>
    <w:rsid w:val="00024CAA"/>
    <w:rsid w:val="0004259D"/>
    <w:rsid w:val="000664E5"/>
    <w:rsid w:val="0007590B"/>
    <w:rsid w:val="0008129D"/>
    <w:rsid w:val="00093473"/>
    <w:rsid w:val="00093A94"/>
    <w:rsid w:val="000971A5"/>
    <w:rsid w:val="000A3735"/>
    <w:rsid w:val="000A776A"/>
    <w:rsid w:val="000B1933"/>
    <w:rsid w:val="000C0381"/>
    <w:rsid w:val="000C1322"/>
    <w:rsid w:val="000E2229"/>
    <w:rsid w:val="000E3EFC"/>
    <w:rsid w:val="000E63CF"/>
    <w:rsid w:val="0010246E"/>
    <w:rsid w:val="00103622"/>
    <w:rsid w:val="00110A96"/>
    <w:rsid w:val="001119ED"/>
    <w:rsid w:val="00117F1E"/>
    <w:rsid w:val="00124A4E"/>
    <w:rsid w:val="0013638D"/>
    <w:rsid w:val="00146236"/>
    <w:rsid w:val="00146996"/>
    <w:rsid w:val="00147136"/>
    <w:rsid w:val="00152E2E"/>
    <w:rsid w:val="0016073D"/>
    <w:rsid w:val="00166DA3"/>
    <w:rsid w:val="00174551"/>
    <w:rsid w:val="00180DC2"/>
    <w:rsid w:val="00184AB8"/>
    <w:rsid w:val="00191E49"/>
    <w:rsid w:val="001952D1"/>
    <w:rsid w:val="00196A22"/>
    <w:rsid w:val="001972BF"/>
    <w:rsid w:val="001A101C"/>
    <w:rsid w:val="001A751F"/>
    <w:rsid w:val="001C5C63"/>
    <w:rsid w:val="001E5772"/>
    <w:rsid w:val="001F51BF"/>
    <w:rsid w:val="001F6A83"/>
    <w:rsid w:val="00210C97"/>
    <w:rsid w:val="0021218C"/>
    <w:rsid w:val="00213F60"/>
    <w:rsid w:val="0021790A"/>
    <w:rsid w:val="00223AF8"/>
    <w:rsid w:val="0022795A"/>
    <w:rsid w:val="00231EF4"/>
    <w:rsid w:val="002350AC"/>
    <w:rsid w:val="00237AAC"/>
    <w:rsid w:val="00251612"/>
    <w:rsid w:val="00255933"/>
    <w:rsid w:val="00263201"/>
    <w:rsid w:val="002718CF"/>
    <w:rsid w:val="00272BC0"/>
    <w:rsid w:val="002939B0"/>
    <w:rsid w:val="002943B3"/>
    <w:rsid w:val="0029521C"/>
    <w:rsid w:val="002968D3"/>
    <w:rsid w:val="002A7945"/>
    <w:rsid w:val="002B6B0F"/>
    <w:rsid w:val="002B71A0"/>
    <w:rsid w:val="002B7FC7"/>
    <w:rsid w:val="002C3EFF"/>
    <w:rsid w:val="002C42C1"/>
    <w:rsid w:val="002D0D88"/>
    <w:rsid w:val="002D1517"/>
    <w:rsid w:val="002E5CC2"/>
    <w:rsid w:val="002F25C7"/>
    <w:rsid w:val="002F3929"/>
    <w:rsid w:val="003044D2"/>
    <w:rsid w:val="00306FAB"/>
    <w:rsid w:val="00312706"/>
    <w:rsid w:val="00314B86"/>
    <w:rsid w:val="00316796"/>
    <w:rsid w:val="003254AD"/>
    <w:rsid w:val="0033375D"/>
    <w:rsid w:val="003365B4"/>
    <w:rsid w:val="0033793A"/>
    <w:rsid w:val="00341230"/>
    <w:rsid w:val="003429CE"/>
    <w:rsid w:val="00344AE3"/>
    <w:rsid w:val="003465E5"/>
    <w:rsid w:val="0035034F"/>
    <w:rsid w:val="00351BAB"/>
    <w:rsid w:val="00361711"/>
    <w:rsid w:val="003736B1"/>
    <w:rsid w:val="00374CFE"/>
    <w:rsid w:val="003A2D21"/>
    <w:rsid w:val="003A4600"/>
    <w:rsid w:val="003A5D3F"/>
    <w:rsid w:val="003C0E28"/>
    <w:rsid w:val="003C390C"/>
    <w:rsid w:val="003D3780"/>
    <w:rsid w:val="003D5D8C"/>
    <w:rsid w:val="003E13C0"/>
    <w:rsid w:val="003E42E6"/>
    <w:rsid w:val="003E68B6"/>
    <w:rsid w:val="00401FBD"/>
    <w:rsid w:val="00406A48"/>
    <w:rsid w:val="00421483"/>
    <w:rsid w:val="0043291F"/>
    <w:rsid w:val="00440BB9"/>
    <w:rsid w:val="004413C9"/>
    <w:rsid w:val="00446666"/>
    <w:rsid w:val="00451799"/>
    <w:rsid w:val="00452AD8"/>
    <w:rsid w:val="0045577F"/>
    <w:rsid w:val="00456741"/>
    <w:rsid w:val="00456CAE"/>
    <w:rsid w:val="004648FE"/>
    <w:rsid w:val="0046672A"/>
    <w:rsid w:val="00475967"/>
    <w:rsid w:val="004765AC"/>
    <w:rsid w:val="004832EA"/>
    <w:rsid w:val="0048523C"/>
    <w:rsid w:val="0048553B"/>
    <w:rsid w:val="00486928"/>
    <w:rsid w:val="0049333E"/>
    <w:rsid w:val="00496E2D"/>
    <w:rsid w:val="004B00A6"/>
    <w:rsid w:val="004B248D"/>
    <w:rsid w:val="004B379B"/>
    <w:rsid w:val="004C15A1"/>
    <w:rsid w:val="004D167D"/>
    <w:rsid w:val="004E2AEA"/>
    <w:rsid w:val="004F39ED"/>
    <w:rsid w:val="00514534"/>
    <w:rsid w:val="005217FE"/>
    <w:rsid w:val="005254A8"/>
    <w:rsid w:val="00525B50"/>
    <w:rsid w:val="005368F0"/>
    <w:rsid w:val="0054038F"/>
    <w:rsid w:val="00547E91"/>
    <w:rsid w:val="00561360"/>
    <w:rsid w:val="0057064E"/>
    <w:rsid w:val="0057431F"/>
    <w:rsid w:val="0057513A"/>
    <w:rsid w:val="00580655"/>
    <w:rsid w:val="005833CF"/>
    <w:rsid w:val="00596C8A"/>
    <w:rsid w:val="005A3C80"/>
    <w:rsid w:val="005B050F"/>
    <w:rsid w:val="005B0DE9"/>
    <w:rsid w:val="005B5649"/>
    <w:rsid w:val="005C4A40"/>
    <w:rsid w:val="005D2D72"/>
    <w:rsid w:val="005D5B01"/>
    <w:rsid w:val="005D687A"/>
    <w:rsid w:val="005E20D1"/>
    <w:rsid w:val="00600038"/>
    <w:rsid w:val="00610B74"/>
    <w:rsid w:val="00616089"/>
    <w:rsid w:val="006175B1"/>
    <w:rsid w:val="00620D04"/>
    <w:rsid w:val="0063307C"/>
    <w:rsid w:val="00641429"/>
    <w:rsid w:val="00652444"/>
    <w:rsid w:val="00667132"/>
    <w:rsid w:val="00672C0D"/>
    <w:rsid w:val="00676DC2"/>
    <w:rsid w:val="00680062"/>
    <w:rsid w:val="00680C62"/>
    <w:rsid w:val="006A31D7"/>
    <w:rsid w:val="006C1C5B"/>
    <w:rsid w:val="006D3D78"/>
    <w:rsid w:val="006E299A"/>
    <w:rsid w:val="006E322D"/>
    <w:rsid w:val="006E4C94"/>
    <w:rsid w:val="006F7082"/>
    <w:rsid w:val="00703751"/>
    <w:rsid w:val="007052A0"/>
    <w:rsid w:val="00705743"/>
    <w:rsid w:val="00716E38"/>
    <w:rsid w:val="00725187"/>
    <w:rsid w:val="00733C4D"/>
    <w:rsid w:val="00737179"/>
    <w:rsid w:val="00755B4A"/>
    <w:rsid w:val="0077159E"/>
    <w:rsid w:val="007817B6"/>
    <w:rsid w:val="00784EDE"/>
    <w:rsid w:val="00786679"/>
    <w:rsid w:val="00792166"/>
    <w:rsid w:val="00793016"/>
    <w:rsid w:val="00793CAC"/>
    <w:rsid w:val="00795F54"/>
    <w:rsid w:val="007A57AB"/>
    <w:rsid w:val="007A6A3F"/>
    <w:rsid w:val="007B0D59"/>
    <w:rsid w:val="007C0AC3"/>
    <w:rsid w:val="00800FC0"/>
    <w:rsid w:val="0081433D"/>
    <w:rsid w:val="0083010D"/>
    <w:rsid w:val="008337A9"/>
    <w:rsid w:val="008420E2"/>
    <w:rsid w:val="00862C8C"/>
    <w:rsid w:val="00873AB8"/>
    <w:rsid w:val="00877027"/>
    <w:rsid w:val="0087778D"/>
    <w:rsid w:val="00882206"/>
    <w:rsid w:val="00882844"/>
    <w:rsid w:val="00882DCA"/>
    <w:rsid w:val="00890806"/>
    <w:rsid w:val="00894561"/>
    <w:rsid w:val="008A51D1"/>
    <w:rsid w:val="008B0959"/>
    <w:rsid w:val="008C0148"/>
    <w:rsid w:val="008C049A"/>
    <w:rsid w:val="008C2A80"/>
    <w:rsid w:val="008E05F7"/>
    <w:rsid w:val="008E098A"/>
    <w:rsid w:val="008E36C0"/>
    <w:rsid w:val="008E7717"/>
    <w:rsid w:val="008F3B3B"/>
    <w:rsid w:val="008F7FAD"/>
    <w:rsid w:val="009026F4"/>
    <w:rsid w:val="009150A1"/>
    <w:rsid w:val="00916479"/>
    <w:rsid w:val="00921E84"/>
    <w:rsid w:val="00922773"/>
    <w:rsid w:val="00923DB4"/>
    <w:rsid w:val="00963BB3"/>
    <w:rsid w:val="00970192"/>
    <w:rsid w:val="00970692"/>
    <w:rsid w:val="00971696"/>
    <w:rsid w:val="00975A12"/>
    <w:rsid w:val="00981223"/>
    <w:rsid w:val="009820A8"/>
    <w:rsid w:val="00984744"/>
    <w:rsid w:val="009850D3"/>
    <w:rsid w:val="00987F99"/>
    <w:rsid w:val="009A4BA6"/>
    <w:rsid w:val="009B7A90"/>
    <w:rsid w:val="009C05A3"/>
    <w:rsid w:val="009C1372"/>
    <w:rsid w:val="009C79F2"/>
    <w:rsid w:val="009C7C11"/>
    <w:rsid w:val="009C7C68"/>
    <w:rsid w:val="009C7EFB"/>
    <w:rsid w:val="009D0410"/>
    <w:rsid w:val="009E53D5"/>
    <w:rsid w:val="009E57C8"/>
    <w:rsid w:val="009F1FEC"/>
    <w:rsid w:val="00A03A54"/>
    <w:rsid w:val="00A04B39"/>
    <w:rsid w:val="00A071B8"/>
    <w:rsid w:val="00A15C42"/>
    <w:rsid w:val="00A234DD"/>
    <w:rsid w:val="00A24016"/>
    <w:rsid w:val="00A27D9E"/>
    <w:rsid w:val="00A30AEE"/>
    <w:rsid w:val="00A31B6B"/>
    <w:rsid w:val="00A34832"/>
    <w:rsid w:val="00A366E0"/>
    <w:rsid w:val="00A4150C"/>
    <w:rsid w:val="00A462D5"/>
    <w:rsid w:val="00A46D59"/>
    <w:rsid w:val="00A53D7F"/>
    <w:rsid w:val="00A60CE1"/>
    <w:rsid w:val="00A615C9"/>
    <w:rsid w:val="00A66BED"/>
    <w:rsid w:val="00A90692"/>
    <w:rsid w:val="00AA0C12"/>
    <w:rsid w:val="00AA30B2"/>
    <w:rsid w:val="00AA3839"/>
    <w:rsid w:val="00AA4E5C"/>
    <w:rsid w:val="00AA79C2"/>
    <w:rsid w:val="00AB0903"/>
    <w:rsid w:val="00AB2D19"/>
    <w:rsid w:val="00AC5476"/>
    <w:rsid w:val="00AD0BC4"/>
    <w:rsid w:val="00AF1F52"/>
    <w:rsid w:val="00AF28F9"/>
    <w:rsid w:val="00AF5144"/>
    <w:rsid w:val="00B017AF"/>
    <w:rsid w:val="00B0670B"/>
    <w:rsid w:val="00B10922"/>
    <w:rsid w:val="00B20AEA"/>
    <w:rsid w:val="00B23C96"/>
    <w:rsid w:val="00B23E8B"/>
    <w:rsid w:val="00B241F7"/>
    <w:rsid w:val="00B260E3"/>
    <w:rsid w:val="00B26431"/>
    <w:rsid w:val="00B3713D"/>
    <w:rsid w:val="00B427A2"/>
    <w:rsid w:val="00B4379C"/>
    <w:rsid w:val="00B43D5E"/>
    <w:rsid w:val="00B45707"/>
    <w:rsid w:val="00B557DC"/>
    <w:rsid w:val="00B64129"/>
    <w:rsid w:val="00B67F94"/>
    <w:rsid w:val="00B73783"/>
    <w:rsid w:val="00B82A45"/>
    <w:rsid w:val="00B837EA"/>
    <w:rsid w:val="00B937F6"/>
    <w:rsid w:val="00B9694B"/>
    <w:rsid w:val="00B97534"/>
    <w:rsid w:val="00BA0F10"/>
    <w:rsid w:val="00BA37CA"/>
    <w:rsid w:val="00BA75C0"/>
    <w:rsid w:val="00BB12DE"/>
    <w:rsid w:val="00BB2A24"/>
    <w:rsid w:val="00BC2E32"/>
    <w:rsid w:val="00BC54F2"/>
    <w:rsid w:val="00BC6E43"/>
    <w:rsid w:val="00BD1057"/>
    <w:rsid w:val="00BD48BA"/>
    <w:rsid w:val="00BD5BF6"/>
    <w:rsid w:val="00BD6FA6"/>
    <w:rsid w:val="00BD727C"/>
    <w:rsid w:val="00BF0A8B"/>
    <w:rsid w:val="00BF1CFD"/>
    <w:rsid w:val="00C135D4"/>
    <w:rsid w:val="00C15203"/>
    <w:rsid w:val="00C26586"/>
    <w:rsid w:val="00C26E78"/>
    <w:rsid w:val="00C34C4F"/>
    <w:rsid w:val="00C377D3"/>
    <w:rsid w:val="00C40287"/>
    <w:rsid w:val="00C4619C"/>
    <w:rsid w:val="00C47A5E"/>
    <w:rsid w:val="00C520F5"/>
    <w:rsid w:val="00C537DB"/>
    <w:rsid w:val="00C53A55"/>
    <w:rsid w:val="00C62A31"/>
    <w:rsid w:val="00C653B4"/>
    <w:rsid w:val="00C76774"/>
    <w:rsid w:val="00CA072C"/>
    <w:rsid w:val="00CA280D"/>
    <w:rsid w:val="00CA3056"/>
    <w:rsid w:val="00CB53D9"/>
    <w:rsid w:val="00CC2B01"/>
    <w:rsid w:val="00CC489B"/>
    <w:rsid w:val="00CC55A6"/>
    <w:rsid w:val="00CC6865"/>
    <w:rsid w:val="00CC7FCC"/>
    <w:rsid w:val="00CD2AAB"/>
    <w:rsid w:val="00CD2B52"/>
    <w:rsid w:val="00CD4340"/>
    <w:rsid w:val="00CD5806"/>
    <w:rsid w:val="00CD617B"/>
    <w:rsid w:val="00CD6716"/>
    <w:rsid w:val="00CF4C03"/>
    <w:rsid w:val="00D01451"/>
    <w:rsid w:val="00D056D4"/>
    <w:rsid w:val="00D127B0"/>
    <w:rsid w:val="00D14F5E"/>
    <w:rsid w:val="00D16002"/>
    <w:rsid w:val="00D169C5"/>
    <w:rsid w:val="00D25714"/>
    <w:rsid w:val="00D33A8F"/>
    <w:rsid w:val="00D42675"/>
    <w:rsid w:val="00D45C3C"/>
    <w:rsid w:val="00D45CA6"/>
    <w:rsid w:val="00D460E0"/>
    <w:rsid w:val="00D71167"/>
    <w:rsid w:val="00D724F4"/>
    <w:rsid w:val="00D81B20"/>
    <w:rsid w:val="00D84823"/>
    <w:rsid w:val="00D8495A"/>
    <w:rsid w:val="00D85293"/>
    <w:rsid w:val="00D91DDA"/>
    <w:rsid w:val="00D937C6"/>
    <w:rsid w:val="00DB20E3"/>
    <w:rsid w:val="00DB28BC"/>
    <w:rsid w:val="00DB2A17"/>
    <w:rsid w:val="00DB35DD"/>
    <w:rsid w:val="00DC44D3"/>
    <w:rsid w:val="00DC78FC"/>
    <w:rsid w:val="00DC7B78"/>
    <w:rsid w:val="00DD255B"/>
    <w:rsid w:val="00DD5A44"/>
    <w:rsid w:val="00DE6F8F"/>
    <w:rsid w:val="00E14FEB"/>
    <w:rsid w:val="00E21E41"/>
    <w:rsid w:val="00E35D03"/>
    <w:rsid w:val="00E36C30"/>
    <w:rsid w:val="00E55958"/>
    <w:rsid w:val="00E562BF"/>
    <w:rsid w:val="00E60B80"/>
    <w:rsid w:val="00E65330"/>
    <w:rsid w:val="00E65A2D"/>
    <w:rsid w:val="00E817AB"/>
    <w:rsid w:val="00E85221"/>
    <w:rsid w:val="00E86688"/>
    <w:rsid w:val="00E91E86"/>
    <w:rsid w:val="00E958A1"/>
    <w:rsid w:val="00E976C3"/>
    <w:rsid w:val="00EA7CA8"/>
    <w:rsid w:val="00EB040A"/>
    <w:rsid w:val="00ED120E"/>
    <w:rsid w:val="00ED5337"/>
    <w:rsid w:val="00ED564D"/>
    <w:rsid w:val="00ED7DDD"/>
    <w:rsid w:val="00EE0828"/>
    <w:rsid w:val="00EE2E40"/>
    <w:rsid w:val="00EF255E"/>
    <w:rsid w:val="00EF35C6"/>
    <w:rsid w:val="00EF7E19"/>
    <w:rsid w:val="00F01D4A"/>
    <w:rsid w:val="00F07EEE"/>
    <w:rsid w:val="00F10AEE"/>
    <w:rsid w:val="00F21293"/>
    <w:rsid w:val="00F313A5"/>
    <w:rsid w:val="00F31681"/>
    <w:rsid w:val="00F34864"/>
    <w:rsid w:val="00F36FFB"/>
    <w:rsid w:val="00F424E7"/>
    <w:rsid w:val="00F444C7"/>
    <w:rsid w:val="00F46467"/>
    <w:rsid w:val="00F50423"/>
    <w:rsid w:val="00F50AAF"/>
    <w:rsid w:val="00F6096D"/>
    <w:rsid w:val="00F67393"/>
    <w:rsid w:val="00F70ECA"/>
    <w:rsid w:val="00F77419"/>
    <w:rsid w:val="00F8042C"/>
    <w:rsid w:val="00F81CE0"/>
    <w:rsid w:val="00F840D7"/>
    <w:rsid w:val="00F85966"/>
    <w:rsid w:val="00F930AD"/>
    <w:rsid w:val="00F93D36"/>
    <w:rsid w:val="00F97A33"/>
    <w:rsid w:val="00FB19AB"/>
    <w:rsid w:val="00FB3414"/>
    <w:rsid w:val="00FB49E3"/>
    <w:rsid w:val="00FC4754"/>
    <w:rsid w:val="00FC6BE5"/>
    <w:rsid w:val="00FD3747"/>
    <w:rsid w:val="00FE76E0"/>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6465A"/>
  <w15:docId w15:val="{0A30D074-FBDD-42C6-B763-306EE2167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5C0"/>
  </w:style>
  <w:style w:type="paragraph" w:styleId="Heading1">
    <w:name w:val="heading 1"/>
    <w:basedOn w:val="Normal"/>
    <w:next w:val="Normal"/>
    <w:link w:val="Heading1Char"/>
    <w:qFormat/>
    <w:rsid w:val="00CC2B01"/>
    <w:pPr>
      <w:keepNext/>
      <w:spacing w:after="0" w:line="240" w:lineRule="auto"/>
      <w:outlineLvl w:val="0"/>
    </w:pPr>
    <w:rPr>
      <w:rFonts w:ascii="TimesRomanR" w:eastAsia="SimSun" w:hAnsi="TimesRomanR" w:cs="Times New Roman"/>
      <w:b/>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12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05F7"/>
    <w:pPr>
      <w:ind w:left="720"/>
      <w:contextualSpacing/>
    </w:pPr>
    <w:rPr>
      <w:lang w:val="en-US"/>
    </w:rPr>
  </w:style>
  <w:style w:type="character" w:styleId="CommentReference">
    <w:name w:val="annotation reference"/>
    <w:rsid w:val="00B73783"/>
    <w:rPr>
      <w:sz w:val="16"/>
      <w:szCs w:val="16"/>
    </w:rPr>
  </w:style>
  <w:style w:type="paragraph" w:styleId="CommentText">
    <w:name w:val="annotation text"/>
    <w:basedOn w:val="Normal"/>
    <w:link w:val="CommentTextChar"/>
    <w:rsid w:val="00B73783"/>
    <w:pPr>
      <w:spacing w:after="0" w:line="240" w:lineRule="auto"/>
    </w:pPr>
    <w:rPr>
      <w:rFonts w:ascii="Tahoma" w:eastAsia="Times New Roman" w:hAnsi="Tahoma" w:cs="Times New Roman"/>
      <w:szCs w:val="20"/>
      <w:lang w:eastAsia="ro-RO"/>
    </w:rPr>
  </w:style>
  <w:style w:type="character" w:customStyle="1" w:styleId="CommentTextChar">
    <w:name w:val="Comment Text Char"/>
    <w:basedOn w:val="DefaultParagraphFont"/>
    <w:link w:val="CommentText"/>
    <w:rsid w:val="00B73783"/>
    <w:rPr>
      <w:rFonts w:ascii="Tahoma" w:eastAsia="Times New Roman" w:hAnsi="Tahoma" w:cs="Times New Roman"/>
      <w:szCs w:val="20"/>
      <w:lang w:eastAsia="ro-RO"/>
    </w:rPr>
  </w:style>
  <w:style w:type="paragraph" w:styleId="BalloonText">
    <w:name w:val="Balloon Text"/>
    <w:basedOn w:val="Normal"/>
    <w:link w:val="BalloonTextChar"/>
    <w:uiPriority w:val="99"/>
    <w:semiHidden/>
    <w:unhideWhenUsed/>
    <w:rsid w:val="00B737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783"/>
    <w:rPr>
      <w:rFonts w:ascii="Tahoma" w:hAnsi="Tahoma" w:cs="Tahoma"/>
      <w:sz w:val="16"/>
      <w:szCs w:val="16"/>
    </w:rPr>
  </w:style>
  <w:style w:type="character" w:styleId="Emphasis">
    <w:name w:val="Emphasis"/>
    <w:basedOn w:val="DefaultParagraphFont"/>
    <w:uiPriority w:val="20"/>
    <w:qFormat/>
    <w:rsid w:val="00A31B6B"/>
    <w:rPr>
      <w:i/>
      <w:iCs/>
    </w:rPr>
  </w:style>
  <w:style w:type="paragraph" w:styleId="BodyText">
    <w:name w:val="Body Text"/>
    <w:basedOn w:val="Normal"/>
    <w:link w:val="BodyTextChar"/>
    <w:rsid w:val="006D3D78"/>
    <w:pPr>
      <w:spacing w:after="0" w:line="240" w:lineRule="auto"/>
      <w:jc w:val="center"/>
    </w:pPr>
    <w:rPr>
      <w:rFonts w:ascii="Times New Roman" w:eastAsia="Times New Roman" w:hAnsi="Times New Roman" w:cs="Times New Roman"/>
      <w:noProof/>
      <w:sz w:val="24"/>
      <w:szCs w:val="24"/>
      <w:lang w:val="en-US"/>
    </w:rPr>
  </w:style>
  <w:style w:type="character" w:customStyle="1" w:styleId="BodyTextChar">
    <w:name w:val="Body Text Char"/>
    <w:basedOn w:val="DefaultParagraphFont"/>
    <w:link w:val="BodyText"/>
    <w:rsid w:val="006D3D78"/>
    <w:rPr>
      <w:rFonts w:ascii="Times New Roman" w:eastAsia="Times New Roman" w:hAnsi="Times New Roman" w:cs="Times New Roman"/>
      <w:noProof/>
      <w:sz w:val="24"/>
      <w:szCs w:val="24"/>
      <w:lang w:val="en-US"/>
    </w:rPr>
  </w:style>
  <w:style w:type="character" w:customStyle="1" w:styleId="Heading1Char">
    <w:name w:val="Heading 1 Char"/>
    <w:basedOn w:val="DefaultParagraphFont"/>
    <w:link w:val="Heading1"/>
    <w:rsid w:val="00CC2B01"/>
    <w:rPr>
      <w:rFonts w:ascii="TimesRomanR" w:eastAsia="SimSun" w:hAnsi="TimesRomanR" w:cs="Times New Roman"/>
      <w:b/>
      <w:sz w:val="24"/>
      <w:szCs w:val="20"/>
      <w:lang w:val="en-GB"/>
    </w:rPr>
  </w:style>
  <w:style w:type="paragraph" w:styleId="BodyText3">
    <w:name w:val="Body Text 3"/>
    <w:basedOn w:val="Normal"/>
    <w:link w:val="BodyText3Char"/>
    <w:uiPriority w:val="99"/>
    <w:semiHidden/>
    <w:unhideWhenUsed/>
    <w:rsid w:val="006E4C94"/>
    <w:pPr>
      <w:spacing w:after="120"/>
    </w:pPr>
    <w:rPr>
      <w:sz w:val="16"/>
      <w:szCs w:val="16"/>
    </w:rPr>
  </w:style>
  <w:style w:type="character" w:customStyle="1" w:styleId="BodyText3Char">
    <w:name w:val="Body Text 3 Char"/>
    <w:basedOn w:val="DefaultParagraphFont"/>
    <w:link w:val="BodyText3"/>
    <w:uiPriority w:val="99"/>
    <w:semiHidden/>
    <w:rsid w:val="006E4C94"/>
    <w:rPr>
      <w:sz w:val="16"/>
      <w:szCs w:val="16"/>
    </w:rPr>
  </w:style>
  <w:style w:type="paragraph" w:styleId="CommentSubject">
    <w:name w:val="annotation subject"/>
    <w:basedOn w:val="CommentText"/>
    <w:next w:val="CommentText"/>
    <w:link w:val="CommentSubjectChar"/>
    <w:uiPriority w:val="99"/>
    <w:semiHidden/>
    <w:unhideWhenUsed/>
    <w:rsid w:val="00EF35C6"/>
    <w:pPr>
      <w:spacing w:after="200"/>
    </w:pPr>
    <w:rPr>
      <w:rFonts w:asciiTheme="minorHAnsi" w:eastAsia="MS Mincho" w:hAnsiTheme="minorHAnsi" w:cstheme="minorBidi"/>
      <w:b/>
      <w:bCs/>
      <w:sz w:val="20"/>
      <w:lang w:eastAsia="en-US"/>
    </w:rPr>
  </w:style>
  <w:style w:type="character" w:customStyle="1" w:styleId="CommentSubjectChar">
    <w:name w:val="Comment Subject Char"/>
    <w:basedOn w:val="CommentTextChar"/>
    <w:link w:val="CommentSubject"/>
    <w:uiPriority w:val="99"/>
    <w:semiHidden/>
    <w:rsid w:val="00EF35C6"/>
    <w:rPr>
      <w:rFonts w:ascii="Tahoma" w:eastAsia="Times New Roman" w:hAnsi="Tahoma" w:cs="Times New Roman"/>
      <w:b/>
      <w:bCs/>
      <w:sz w:val="20"/>
      <w:szCs w:val="20"/>
      <w:lang w:eastAsia="ro-RO"/>
    </w:rPr>
  </w:style>
  <w:style w:type="paragraph" w:styleId="Header">
    <w:name w:val="header"/>
    <w:basedOn w:val="Normal"/>
    <w:link w:val="HeaderChar"/>
    <w:uiPriority w:val="99"/>
    <w:rsid w:val="005254A8"/>
    <w:pPr>
      <w:tabs>
        <w:tab w:val="center" w:pos="4536"/>
        <w:tab w:val="right" w:pos="9072"/>
      </w:tabs>
      <w:spacing w:after="0" w:line="240" w:lineRule="auto"/>
    </w:pPr>
    <w:rPr>
      <w:rFonts w:ascii="Times New Roman" w:eastAsia="Times New Roman" w:hAnsi="Times New Roman" w:cs="Times New Roman"/>
      <w:sz w:val="24"/>
      <w:szCs w:val="24"/>
      <w:lang w:val="cs-CZ" w:eastAsia="cs-CZ"/>
    </w:rPr>
  </w:style>
  <w:style w:type="character" w:customStyle="1" w:styleId="HeaderChar">
    <w:name w:val="Header Char"/>
    <w:basedOn w:val="DefaultParagraphFont"/>
    <w:link w:val="Header"/>
    <w:uiPriority w:val="99"/>
    <w:rsid w:val="005254A8"/>
    <w:rPr>
      <w:rFonts w:ascii="Times New Roman" w:eastAsia="Times New Roman" w:hAnsi="Times New Roman" w:cs="Times New Roman"/>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84819">
      <w:bodyDiv w:val="1"/>
      <w:marLeft w:val="0"/>
      <w:marRight w:val="0"/>
      <w:marTop w:val="0"/>
      <w:marBottom w:val="0"/>
      <w:divBdr>
        <w:top w:val="none" w:sz="0" w:space="0" w:color="auto"/>
        <w:left w:val="none" w:sz="0" w:space="0" w:color="auto"/>
        <w:bottom w:val="none" w:sz="0" w:space="0" w:color="auto"/>
        <w:right w:val="none" w:sz="0" w:space="0" w:color="auto"/>
      </w:divBdr>
    </w:div>
    <w:div w:id="96172778">
      <w:bodyDiv w:val="1"/>
      <w:marLeft w:val="0"/>
      <w:marRight w:val="0"/>
      <w:marTop w:val="0"/>
      <w:marBottom w:val="0"/>
      <w:divBdr>
        <w:top w:val="none" w:sz="0" w:space="0" w:color="auto"/>
        <w:left w:val="none" w:sz="0" w:space="0" w:color="auto"/>
        <w:bottom w:val="none" w:sz="0" w:space="0" w:color="auto"/>
        <w:right w:val="none" w:sz="0" w:space="0" w:color="auto"/>
      </w:divBdr>
    </w:div>
    <w:div w:id="121775652">
      <w:bodyDiv w:val="1"/>
      <w:marLeft w:val="0"/>
      <w:marRight w:val="0"/>
      <w:marTop w:val="0"/>
      <w:marBottom w:val="0"/>
      <w:divBdr>
        <w:top w:val="none" w:sz="0" w:space="0" w:color="auto"/>
        <w:left w:val="none" w:sz="0" w:space="0" w:color="auto"/>
        <w:bottom w:val="none" w:sz="0" w:space="0" w:color="auto"/>
        <w:right w:val="none" w:sz="0" w:space="0" w:color="auto"/>
      </w:divBdr>
    </w:div>
    <w:div w:id="1175417081">
      <w:bodyDiv w:val="1"/>
      <w:marLeft w:val="0"/>
      <w:marRight w:val="0"/>
      <w:marTop w:val="0"/>
      <w:marBottom w:val="0"/>
      <w:divBdr>
        <w:top w:val="none" w:sz="0" w:space="0" w:color="auto"/>
        <w:left w:val="none" w:sz="0" w:space="0" w:color="auto"/>
        <w:bottom w:val="none" w:sz="0" w:space="0" w:color="auto"/>
        <w:right w:val="none" w:sz="0" w:space="0" w:color="auto"/>
      </w:divBdr>
    </w:div>
    <w:div w:id="1268808390">
      <w:bodyDiv w:val="1"/>
      <w:marLeft w:val="0"/>
      <w:marRight w:val="0"/>
      <w:marTop w:val="0"/>
      <w:marBottom w:val="0"/>
      <w:divBdr>
        <w:top w:val="none" w:sz="0" w:space="0" w:color="auto"/>
        <w:left w:val="none" w:sz="0" w:space="0" w:color="auto"/>
        <w:bottom w:val="none" w:sz="0" w:space="0" w:color="auto"/>
        <w:right w:val="none" w:sz="0" w:space="0" w:color="auto"/>
      </w:divBdr>
    </w:div>
    <w:div w:id="1480153481">
      <w:bodyDiv w:val="1"/>
      <w:marLeft w:val="0"/>
      <w:marRight w:val="0"/>
      <w:marTop w:val="0"/>
      <w:marBottom w:val="0"/>
      <w:divBdr>
        <w:top w:val="none" w:sz="0" w:space="0" w:color="auto"/>
        <w:left w:val="none" w:sz="0" w:space="0" w:color="auto"/>
        <w:bottom w:val="none" w:sz="0" w:space="0" w:color="auto"/>
        <w:right w:val="none" w:sz="0" w:space="0" w:color="auto"/>
      </w:divBdr>
    </w:div>
    <w:div w:id="1504321167">
      <w:bodyDiv w:val="1"/>
      <w:marLeft w:val="0"/>
      <w:marRight w:val="0"/>
      <w:marTop w:val="0"/>
      <w:marBottom w:val="0"/>
      <w:divBdr>
        <w:top w:val="none" w:sz="0" w:space="0" w:color="auto"/>
        <w:left w:val="none" w:sz="0" w:space="0" w:color="auto"/>
        <w:bottom w:val="none" w:sz="0" w:space="0" w:color="auto"/>
        <w:right w:val="none" w:sz="0" w:space="0" w:color="auto"/>
      </w:divBdr>
    </w:div>
    <w:div w:id="1831095518">
      <w:bodyDiv w:val="1"/>
      <w:marLeft w:val="0"/>
      <w:marRight w:val="0"/>
      <w:marTop w:val="0"/>
      <w:marBottom w:val="0"/>
      <w:divBdr>
        <w:top w:val="none" w:sz="0" w:space="0" w:color="auto"/>
        <w:left w:val="none" w:sz="0" w:space="0" w:color="auto"/>
        <w:bottom w:val="none" w:sz="0" w:space="0" w:color="auto"/>
        <w:right w:val="none" w:sz="0" w:space="0" w:color="auto"/>
      </w:divBdr>
    </w:div>
    <w:div w:id="186000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3CD32-485C-4C58-BAFA-8AF9083BD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570</Words>
  <Characters>3252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Roxana Mihai</dc:creator>
  <cp:lastModifiedBy>Roxana Mihai</cp:lastModifiedBy>
  <cp:revision>2</cp:revision>
  <dcterms:created xsi:type="dcterms:W3CDTF">2019-08-27T09:33:00Z</dcterms:created>
  <dcterms:modified xsi:type="dcterms:W3CDTF">2019-08-27T09:33:00Z</dcterms:modified>
</cp:coreProperties>
</file>